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F9" w:rsidRDefault="00FC51F9">
      <w:pPr>
        <w:snapToGrid w:val="0"/>
        <w:spacing w:line="360" w:lineRule="auto"/>
        <w:jc w:val="both"/>
        <w:rPr>
          <w:rFonts w:ascii="標楷體" w:eastAsia="標楷體" w:hAnsi="標楷體" w:hint="eastAsia"/>
          <w:color w:val="000000"/>
          <w:sz w:val="28"/>
        </w:rPr>
      </w:pPr>
    </w:p>
    <w:p w:rsidR="00FC51F9" w:rsidRDefault="00FC51F9">
      <w:pPr>
        <w:numPr>
          <w:ilvl w:val="0"/>
          <w:numId w:val="13"/>
        </w:numPr>
        <w:tabs>
          <w:tab w:val="clear" w:pos="375"/>
        </w:tabs>
        <w:snapToGrid w:val="0"/>
        <w:spacing w:line="0" w:lineRule="atLeast"/>
        <w:ind w:left="360" w:hanging="360"/>
        <w:jc w:val="both"/>
        <w:rPr>
          <w:rFonts w:eastAsia="標楷體" w:hint="eastAsia"/>
          <w:color w:val="000000"/>
          <w:sz w:val="32"/>
        </w:rPr>
      </w:pPr>
      <w:r>
        <w:rPr>
          <w:rFonts w:ascii="標楷體" w:eastAsia="標楷體" w:hAnsi="標楷體" w:hint="eastAsia"/>
          <w:color w:val="000000"/>
          <w:sz w:val="28"/>
        </w:rPr>
        <w:t>修訂並重申：於本院執行之臨床試驗案，合約內容需有下列條文。</w:t>
      </w:r>
    </w:p>
    <w:p w:rsidR="00FC51F9" w:rsidRDefault="00FC51F9">
      <w:pPr>
        <w:numPr>
          <w:ilvl w:val="0"/>
          <w:numId w:val="14"/>
        </w:numPr>
        <w:spacing w:beforeLines="100" w:line="0" w:lineRule="atLeast"/>
        <w:ind w:left="1620" w:hanging="1260"/>
        <w:jc w:val="both"/>
        <w:rPr>
          <w:rFonts w:ascii="標楷體" w:eastAsia="標楷體" w:hAnsi="標楷體"/>
          <w:color w:val="000000"/>
          <w:sz w:val="28"/>
        </w:rPr>
      </w:pPr>
      <w:r>
        <w:rPr>
          <w:rFonts w:ascii="標楷體" w:eastAsia="標楷體" w:hAnsi="標楷體" w:hint="eastAsia"/>
          <w:color w:val="000000"/>
          <w:sz w:val="28"/>
        </w:rPr>
        <w:t>於奇美醫療財團法人奇美醫院(</w:t>
      </w:r>
      <w:proofErr w:type="gramStart"/>
      <w:r>
        <w:rPr>
          <w:rFonts w:ascii="標楷體" w:eastAsia="標楷體" w:hAnsi="標楷體" w:hint="eastAsia"/>
          <w:color w:val="000000"/>
          <w:sz w:val="28"/>
        </w:rPr>
        <w:t>下稱甲方</w:t>
      </w:r>
      <w:proofErr w:type="gramEnd"/>
      <w:r>
        <w:rPr>
          <w:rFonts w:ascii="標楷體" w:eastAsia="標楷體" w:hAnsi="標楷體" w:hint="eastAsia"/>
          <w:color w:val="000000"/>
          <w:sz w:val="28"/>
        </w:rPr>
        <w:t>)執行之臨床試驗案，試驗委託者(</w:t>
      </w:r>
      <w:proofErr w:type="gramStart"/>
      <w:r>
        <w:rPr>
          <w:rFonts w:ascii="標楷體" w:eastAsia="標楷體" w:hAnsi="標楷體" w:hint="eastAsia"/>
          <w:color w:val="000000"/>
          <w:sz w:val="28"/>
        </w:rPr>
        <w:t>下稱乙方</w:t>
      </w:r>
      <w:proofErr w:type="gramEnd"/>
      <w:r>
        <w:rPr>
          <w:rFonts w:ascii="標楷體" w:eastAsia="標楷體" w:hAnsi="標楷體" w:hint="eastAsia"/>
          <w:color w:val="000000"/>
          <w:sz w:val="28"/>
        </w:rPr>
        <w:t>)應遵守衛生</w:t>
      </w:r>
      <w:proofErr w:type="gramStart"/>
      <w:r>
        <w:rPr>
          <w:rFonts w:ascii="標楷體" w:eastAsia="標楷體" w:hAnsi="標楷體" w:hint="eastAsia"/>
          <w:color w:val="000000"/>
          <w:sz w:val="28"/>
        </w:rPr>
        <w:t>福利部及健保</w:t>
      </w:r>
      <w:proofErr w:type="gramEnd"/>
      <w:r>
        <w:rPr>
          <w:rFonts w:ascii="標楷體" w:eastAsia="標楷體" w:hAnsi="標楷體" w:hint="eastAsia"/>
          <w:color w:val="000000"/>
          <w:sz w:val="28"/>
        </w:rPr>
        <w:t>署對臨床試驗使用健保費用之規定</w:t>
      </w:r>
      <w:r>
        <w:rPr>
          <w:rFonts w:ascii="標楷體" w:eastAsia="標楷體" w:hAnsi="標楷體" w:hint="eastAsia"/>
          <w:bCs/>
          <w:color w:val="000000"/>
          <w:sz w:val="28"/>
        </w:rPr>
        <w:t>，若有</w:t>
      </w:r>
      <w:proofErr w:type="gramStart"/>
      <w:r>
        <w:rPr>
          <w:rFonts w:ascii="標楷體" w:eastAsia="標楷體" w:hAnsi="標楷體" w:hint="eastAsia"/>
          <w:bCs/>
          <w:color w:val="000000"/>
          <w:sz w:val="28"/>
        </w:rPr>
        <w:t>違反致甲方</w:t>
      </w:r>
      <w:proofErr w:type="gramEnd"/>
      <w:r>
        <w:rPr>
          <w:rFonts w:ascii="標楷體" w:eastAsia="標楷體" w:hAnsi="標楷體" w:hint="eastAsia"/>
          <w:bCs/>
          <w:color w:val="000000"/>
          <w:sz w:val="28"/>
        </w:rPr>
        <w:t>受損害，乙方願負全部之賠償責任</w:t>
      </w:r>
      <w:r>
        <w:rPr>
          <w:rFonts w:ascii="標楷體" w:eastAsia="標楷體" w:hAnsi="標楷體" w:hint="eastAsia"/>
          <w:color w:val="000000"/>
          <w:sz w:val="28"/>
        </w:rPr>
        <w:t>。</w:t>
      </w:r>
    </w:p>
    <w:p w:rsidR="00FC51F9" w:rsidRDefault="00FC51F9">
      <w:pPr>
        <w:numPr>
          <w:ilvl w:val="0"/>
          <w:numId w:val="14"/>
        </w:numPr>
        <w:spacing w:beforeLines="100" w:line="0" w:lineRule="atLeast"/>
        <w:ind w:left="1620" w:hanging="1260"/>
        <w:jc w:val="both"/>
        <w:rPr>
          <w:rFonts w:ascii="標楷體" w:eastAsia="標楷體" w:hAnsi="標楷體" w:hint="eastAsia"/>
          <w:color w:val="000000"/>
          <w:sz w:val="28"/>
        </w:rPr>
      </w:pPr>
      <w:r>
        <w:rPr>
          <w:rFonts w:ascii="標楷體" w:eastAsia="標楷體" w:hAnsi="標楷體" w:cs="標楷體" w:hint="eastAsia"/>
          <w:color w:val="000000"/>
          <w:sz w:val="28"/>
          <w:szCs w:val="28"/>
        </w:rPr>
        <w:t>甲方應依試驗計劃書之程序實施本試驗。如因此發生不良反應</w:t>
      </w:r>
      <w:r w:rsidRPr="00E70C16">
        <w:rPr>
          <w:rFonts w:ascii="標楷體" w:eastAsia="標楷體" w:hAnsi="標楷體" w:cs="標楷體" w:hint="eastAsia"/>
          <w:color w:val="4472C4"/>
          <w:sz w:val="28"/>
          <w:szCs w:val="28"/>
        </w:rPr>
        <w:t>(包括但不限於可預期之不良反應)</w:t>
      </w:r>
      <w:r>
        <w:rPr>
          <w:rFonts w:ascii="標楷體" w:eastAsia="標楷體" w:hAnsi="標楷體" w:cs="標楷體" w:hint="eastAsia"/>
          <w:color w:val="000000"/>
          <w:sz w:val="28"/>
          <w:szCs w:val="28"/>
        </w:rPr>
        <w:t>導致受試者受到傷害或死亡而需給予醫療照</w:t>
      </w:r>
      <w:proofErr w:type="gramStart"/>
      <w:r>
        <w:rPr>
          <w:rFonts w:ascii="標楷體" w:eastAsia="標楷體" w:hAnsi="標楷體" w:cs="標楷體" w:hint="eastAsia"/>
          <w:color w:val="000000"/>
          <w:sz w:val="28"/>
          <w:szCs w:val="28"/>
        </w:rPr>
        <w:t>護或賠</w:t>
      </w:r>
      <w:proofErr w:type="gramEnd"/>
      <w:r>
        <w:rPr>
          <w:rFonts w:ascii="標楷體" w:eastAsia="標楷體" w:hAnsi="標楷體" w:cs="標楷體" w:hint="eastAsia"/>
          <w:color w:val="000000"/>
          <w:sz w:val="28"/>
          <w:szCs w:val="28"/>
        </w:rPr>
        <w:t>（補）</w:t>
      </w:r>
      <w:proofErr w:type="gramStart"/>
      <w:r>
        <w:rPr>
          <w:rFonts w:ascii="標楷體" w:eastAsia="標楷體" w:hAnsi="標楷體" w:cs="標楷體" w:hint="eastAsia"/>
          <w:color w:val="000000"/>
          <w:sz w:val="28"/>
          <w:szCs w:val="28"/>
        </w:rPr>
        <w:t>償時</w:t>
      </w:r>
      <w:proofErr w:type="gramEnd"/>
      <w:r>
        <w:rPr>
          <w:rFonts w:ascii="標楷體" w:eastAsia="標楷體" w:hAnsi="標楷體" w:cs="標楷體" w:hint="eastAsia"/>
          <w:color w:val="000000"/>
          <w:sz w:val="28"/>
          <w:szCs w:val="28"/>
        </w:rPr>
        <w:t>，甲方及本院計畫主持人應協助乙方出面處理，但乙方應負擔因此而產生之醫療費用、賠（補）償費用及其他費用（包括但不限於訴訟費用及律師費用）。但若因甲方未依試驗計劃書之程序實施本試驗所致，不在此限。</w:t>
      </w:r>
    </w:p>
    <w:p w:rsidR="00FC51F9" w:rsidRDefault="00FC51F9">
      <w:pPr>
        <w:numPr>
          <w:ilvl w:val="0"/>
          <w:numId w:val="14"/>
        </w:numPr>
        <w:spacing w:beforeLines="100" w:line="0" w:lineRule="atLeast"/>
        <w:ind w:left="1620" w:hanging="1260"/>
        <w:jc w:val="both"/>
        <w:rPr>
          <w:rFonts w:ascii="標楷體" w:eastAsia="標楷體" w:hAnsi="標楷體" w:hint="eastAsia"/>
          <w:color w:val="000000"/>
          <w:sz w:val="28"/>
        </w:rPr>
      </w:pPr>
      <w:r>
        <w:rPr>
          <w:rFonts w:ascii="標楷體" w:eastAsia="標楷體" w:hAnsi="標楷體" w:hint="eastAsia"/>
          <w:color w:val="000000"/>
          <w:sz w:val="28"/>
        </w:rPr>
        <w:t>受試驗者之個人資料（包括一切可以直接或間接方式識別該受試驗者之資料），乙方須依法律規定妥當保管不得無故洩漏。違反者就另一方或第三人造成之損害，應負全部之賠償責任（包括但不限於訴訟費及律師費</w:t>
      </w:r>
      <w:proofErr w:type="gramStart"/>
      <w:r>
        <w:rPr>
          <w:rFonts w:ascii="標楷體" w:eastAsia="標楷體" w:hAnsi="標楷體" w:hint="eastAsia"/>
          <w:color w:val="000000"/>
          <w:sz w:val="28"/>
        </w:rPr>
        <w:t>）</w:t>
      </w:r>
      <w:proofErr w:type="gramEnd"/>
      <w:r>
        <w:rPr>
          <w:rFonts w:ascii="標楷體" w:eastAsia="標楷體" w:hAnsi="標楷體" w:hint="eastAsia"/>
          <w:color w:val="000000"/>
          <w:sz w:val="28"/>
        </w:rPr>
        <w:t>。</w:t>
      </w:r>
    </w:p>
    <w:p w:rsidR="00FC51F9" w:rsidRDefault="0000280D">
      <w:pPr>
        <w:numPr>
          <w:ilvl w:val="0"/>
          <w:numId w:val="14"/>
        </w:numPr>
        <w:spacing w:beforeLines="100" w:line="0" w:lineRule="atLeast"/>
        <w:ind w:left="1620" w:hanging="1260"/>
        <w:jc w:val="both"/>
        <w:rPr>
          <w:rFonts w:ascii="標楷體" w:eastAsia="標楷體" w:hAnsi="標楷體" w:hint="eastAsia"/>
          <w:color w:val="000000"/>
          <w:sz w:val="28"/>
        </w:rPr>
      </w:pPr>
      <w:r>
        <w:rPr>
          <w:rFonts w:ascii="標楷體" w:eastAsia="標楷體" w:hAnsi="標楷體" w:hint="eastAsia"/>
          <w:color w:val="000000"/>
          <w:sz w:val="28"/>
        </w:rPr>
        <w:t>乙方提供之各項研究費用</w:t>
      </w:r>
      <w:r w:rsidRPr="00EB7AE3">
        <w:rPr>
          <w:rFonts w:ascii="標楷體" w:eastAsia="標楷體" w:hAnsi="標楷體" w:hint="eastAsia"/>
          <w:color w:val="000000"/>
          <w:sz w:val="28"/>
        </w:rPr>
        <w:t>(得</w:t>
      </w:r>
      <w:proofErr w:type="gramStart"/>
      <w:r w:rsidRPr="00EB7AE3">
        <w:rPr>
          <w:rFonts w:ascii="標楷體" w:eastAsia="標楷體" w:hAnsi="標楷體" w:hint="eastAsia"/>
          <w:color w:val="000000"/>
          <w:sz w:val="28"/>
        </w:rPr>
        <w:t>不含受試</w:t>
      </w:r>
      <w:proofErr w:type="gramEnd"/>
      <w:r w:rsidRPr="00EB7AE3">
        <w:rPr>
          <w:rFonts w:ascii="標楷體" w:eastAsia="標楷體" w:hAnsi="標楷體" w:hint="eastAsia"/>
          <w:color w:val="000000"/>
          <w:sz w:val="28"/>
        </w:rPr>
        <w:t>者車馬費及營養費)</w:t>
      </w:r>
      <w:r>
        <w:rPr>
          <w:rFonts w:ascii="標楷體" w:eastAsia="標楷體" w:hAnsi="標楷體" w:hint="eastAsia"/>
          <w:color w:val="000000"/>
          <w:sz w:val="28"/>
        </w:rPr>
        <w:t>，皆須透明且經由</w:t>
      </w:r>
      <w:proofErr w:type="gramStart"/>
      <w:r>
        <w:rPr>
          <w:rFonts w:ascii="標楷體" w:eastAsia="標楷體" w:hAnsi="標楷體" w:hint="eastAsia"/>
          <w:color w:val="000000"/>
          <w:sz w:val="28"/>
        </w:rPr>
        <w:t>甲方轉核發</w:t>
      </w:r>
      <w:proofErr w:type="gramEnd"/>
      <w:r>
        <w:rPr>
          <w:rFonts w:ascii="標楷體" w:eastAsia="標楷體" w:hAnsi="標楷體" w:hint="eastAsia"/>
          <w:color w:val="000000"/>
          <w:sz w:val="28"/>
        </w:rPr>
        <w:t>。</w:t>
      </w:r>
    </w:p>
    <w:p w:rsidR="00FC51F9" w:rsidRDefault="00FC51F9">
      <w:pPr>
        <w:numPr>
          <w:ilvl w:val="0"/>
          <w:numId w:val="14"/>
        </w:numPr>
        <w:spacing w:beforeLines="100" w:line="0" w:lineRule="atLeast"/>
        <w:ind w:left="1620" w:hanging="1260"/>
        <w:jc w:val="both"/>
        <w:rPr>
          <w:rFonts w:ascii="標楷體" w:eastAsia="標楷體" w:hAnsi="標楷體" w:hint="eastAsia"/>
          <w:color w:val="000000"/>
          <w:sz w:val="28"/>
        </w:rPr>
      </w:pPr>
      <w:r>
        <w:rPr>
          <w:rFonts w:ascii="標楷體" w:eastAsia="標楷體" w:hAnsi="標楷體" w:hint="eastAsia"/>
          <w:color w:val="000000"/>
          <w:sz w:val="28"/>
        </w:rPr>
        <w:t>本合約</w:t>
      </w:r>
      <w:proofErr w:type="gramStart"/>
      <w:r>
        <w:rPr>
          <w:rFonts w:ascii="標楷體" w:eastAsia="標楷體" w:hAnsi="標楷體" w:hint="eastAsia"/>
          <w:color w:val="000000"/>
          <w:sz w:val="28"/>
        </w:rPr>
        <w:t>未盡訂明</w:t>
      </w:r>
      <w:proofErr w:type="gramEnd"/>
      <w:r>
        <w:rPr>
          <w:rFonts w:ascii="標楷體" w:eastAsia="標楷體" w:hAnsi="標楷體" w:hint="eastAsia"/>
          <w:color w:val="000000"/>
          <w:sz w:val="28"/>
        </w:rPr>
        <w:t>之事項，依中華民國之法令定之。</w:t>
      </w:r>
    </w:p>
    <w:p w:rsidR="00FC51F9" w:rsidRDefault="00FC51F9">
      <w:pPr>
        <w:numPr>
          <w:ilvl w:val="0"/>
          <w:numId w:val="14"/>
        </w:numPr>
        <w:spacing w:beforeLines="100" w:line="0" w:lineRule="atLeast"/>
        <w:ind w:left="1620" w:hanging="1260"/>
        <w:jc w:val="both"/>
        <w:rPr>
          <w:rFonts w:ascii="標楷體" w:eastAsia="標楷體" w:hAnsi="標楷體" w:hint="eastAsia"/>
          <w:color w:val="000000"/>
          <w:sz w:val="28"/>
        </w:rPr>
      </w:pPr>
      <w:r>
        <w:rPr>
          <w:rFonts w:ascii="標楷體" w:eastAsia="標楷體" w:hAnsi="標楷體" w:hint="eastAsia"/>
          <w:color w:val="000000"/>
          <w:sz w:val="28"/>
        </w:rPr>
        <w:t>若因本合約涉訟，雙方同意以臺灣</w:t>
      </w: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南地方法院為第一審管轄法院。</w:t>
      </w:r>
    </w:p>
    <w:p w:rsidR="00FC51F9" w:rsidRDefault="00FC51F9">
      <w:pPr>
        <w:numPr>
          <w:ilvl w:val="0"/>
          <w:numId w:val="14"/>
        </w:numPr>
        <w:spacing w:beforeLines="100" w:line="0" w:lineRule="atLeast"/>
        <w:ind w:left="1620" w:hanging="1260"/>
        <w:jc w:val="both"/>
        <w:rPr>
          <w:rFonts w:ascii="標楷體" w:eastAsia="標楷體" w:hAnsi="標楷體"/>
          <w:color w:val="000000"/>
          <w:sz w:val="28"/>
        </w:rPr>
      </w:pPr>
      <w:r>
        <w:rPr>
          <w:rFonts w:ascii="標楷體" w:eastAsia="標楷體" w:hAnsi="標楷體" w:hint="eastAsia"/>
          <w:color w:val="000000"/>
          <w:sz w:val="28"/>
        </w:rPr>
        <w:t>若中英文合約內容不同，則以中文版本為主。</w:t>
      </w:r>
    </w:p>
    <w:p w:rsidR="00FC51F9" w:rsidRPr="002936A6" w:rsidRDefault="00FC51F9">
      <w:pPr>
        <w:numPr>
          <w:ilvl w:val="0"/>
          <w:numId w:val="14"/>
        </w:numPr>
        <w:spacing w:beforeLines="100" w:line="0" w:lineRule="atLeast"/>
        <w:ind w:left="1620" w:hanging="1260"/>
        <w:jc w:val="both"/>
        <w:rPr>
          <w:rFonts w:ascii="標楷體" w:eastAsia="標楷體" w:hAnsi="標楷體"/>
          <w:sz w:val="28"/>
        </w:rPr>
      </w:pPr>
      <w:r w:rsidRPr="002936A6">
        <w:rPr>
          <w:rFonts w:ascii="標楷體" w:eastAsia="標楷體" w:hAnsi="標楷體" w:cs="標楷體" w:hint="eastAsia"/>
          <w:sz w:val="28"/>
        </w:rPr>
        <w:t>本合約第一至七條應優先適用，雙方之文字協議或口頭承諾若與本約第一至七條款牴觸或矛盾，</w:t>
      </w:r>
      <w:proofErr w:type="gramStart"/>
      <w:r w:rsidRPr="002936A6">
        <w:rPr>
          <w:rFonts w:ascii="標楷體" w:eastAsia="標楷體" w:hAnsi="標楷體" w:cs="標楷體" w:hint="eastAsia"/>
          <w:sz w:val="28"/>
        </w:rPr>
        <w:t>均不生</w:t>
      </w:r>
      <w:proofErr w:type="gramEnd"/>
      <w:r w:rsidRPr="002936A6">
        <w:rPr>
          <w:rFonts w:ascii="標楷體" w:eastAsia="標楷體" w:hAnsi="標楷體" w:cs="標楷體" w:hint="eastAsia"/>
          <w:sz w:val="28"/>
        </w:rPr>
        <w:t>拘束效力。</w:t>
      </w:r>
    </w:p>
    <w:p w:rsidR="00FC51F9" w:rsidRDefault="00FC51F9">
      <w:pPr>
        <w:numPr>
          <w:ilvl w:val="0"/>
          <w:numId w:val="14"/>
        </w:numPr>
        <w:spacing w:beforeLines="100" w:line="0" w:lineRule="atLeast"/>
        <w:ind w:left="1620" w:hanging="1260"/>
        <w:jc w:val="both"/>
        <w:rPr>
          <w:rFonts w:ascii="標楷體" w:eastAsia="標楷體" w:hAnsi="標楷體"/>
          <w:color w:val="000000"/>
          <w:sz w:val="28"/>
        </w:rPr>
      </w:pPr>
      <w:r>
        <w:rPr>
          <w:rFonts w:ascii="標楷體" w:eastAsia="標楷體" w:hAnsi="標楷體" w:hint="eastAsia"/>
          <w:color w:val="000000"/>
          <w:sz w:val="28"/>
        </w:rPr>
        <w:t>本合約</w:t>
      </w:r>
      <w:proofErr w:type="gramStart"/>
      <w:r>
        <w:rPr>
          <w:rFonts w:ascii="標楷體" w:eastAsia="標楷體" w:hAnsi="標楷體" w:hint="eastAsia"/>
          <w:color w:val="000000"/>
          <w:sz w:val="28"/>
        </w:rPr>
        <w:t>一式參份</w:t>
      </w:r>
      <w:proofErr w:type="gramEnd"/>
      <w:r>
        <w:rPr>
          <w:rFonts w:ascii="標楷體" w:eastAsia="標楷體" w:hAnsi="標楷體" w:hint="eastAsia"/>
          <w:color w:val="000000"/>
          <w:sz w:val="28"/>
        </w:rPr>
        <w:t>，甲、乙雙方及計畫主持人各</w:t>
      </w:r>
      <w:proofErr w:type="gramStart"/>
      <w:r>
        <w:rPr>
          <w:rFonts w:ascii="標楷體" w:eastAsia="標楷體" w:hAnsi="標楷體" w:hint="eastAsia"/>
          <w:color w:val="000000"/>
          <w:sz w:val="28"/>
        </w:rPr>
        <w:t>執壹份</w:t>
      </w:r>
      <w:proofErr w:type="gramEnd"/>
      <w:r>
        <w:rPr>
          <w:rFonts w:ascii="標楷體" w:eastAsia="標楷體" w:hAnsi="標楷體" w:hint="eastAsia"/>
          <w:color w:val="000000"/>
          <w:sz w:val="28"/>
        </w:rPr>
        <w:t>為</w:t>
      </w:r>
      <w:proofErr w:type="gramStart"/>
      <w:r>
        <w:rPr>
          <w:rFonts w:ascii="標楷體" w:eastAsia="標楷體" w:hAnsi="標楷體" w:hint="eastAsia"/>
          <w:color w:val="000000"/>
          <w:sz w:val="28"/>
        </w:rPr>
        <w:t>憑</w:t>
      </w:r>
      <w:proofErr w:type="gramEnd"/>
      <w:r>
        <w:rPr>
          <w:rFonts w:ascii="標楷體" w:eastAsia="標楷體" w:hAnsi="標楷體" w:hint="eastAsia"/>
          <w:color w:val="000000"/>
          <w:sz w:val="28"/>
        </w:rPr>
        <w:t>。</w:t>
      </w:r>
    </w:p>
    <w:p w:rsidR="00E771EB" w:rsidRDefault="00E771EB" w:rsidP="00E771EB">
      <w:pPr>
        <w:spacing w:beforeLines="100" w:line="0" w:lineRule="atLeast"/>
        <w:ind w:left="360"/>
        <w:jc w:val="both"/>
        <w:rPr>
          <w:rFonts w:ascii="標楷體" w:eastAsia="標楷體" w:hAnsi="標楷體" w:hint="eastAsia"/>
          <w:color w:val="000000"/>
          <w:sz w:val="28"/>
        </w:rPr>
      </w:pPr>
    </w:p>
    <w:p w:rsidR="00FC51F9" w:rsidRDefault="00FC51F9">
      <w:pPr>
        <w:spacing w:beforeLines="100" w:line="0" w:lineRule="atLeast"/>
        <w:jc w:val="both"/>
        <w:rPr>
          <w:rFonts w:ascii="標楷體" w:eastAsia="標楷體" w:hAnsi="標楷體" w:hint="eastAsia"/>
          <w:color w:val="000000"/>
          <w:sz w:val="28"/>
        </w:rPr>
      </w:pPr>
    </w:p>
    <w:p w:rsidR="00FC51F9" w:rsidRDefault="00FC51F9">
      <w:pPr>
        <w:spacing w:beforeLines="100" w:line="0" w:lineRule="atLeast"/>
        <w:jc w:val="both"/>
        <w:rPr>
          <w:rFonts w:ascii="標楷體" w:eastAsia="標楷體" w:hAnsi="標楷體" w:hint="eastAsia"/>
          <w:color w:val="000000"/>
          <w:sz w:val="28"/>
        </w:rPr>
      </w:pPr>
    </w:p>
    <w:p w:rsidR="00FC51F9" w:rsidRDefault="00FC51F9">
      <w:pPr>
        <w:numPr>
          <w:ilvl w:val="0"/>
          <w:numId w:val="17"/>
        </w:numPr>
        <w:spacing w:beforeLines="100" w:line="0" w:lineRule="atLeast"/>
        <w:jc w:val="both"/>
        <w:rPr>
          <w:rStyle w:val="hps"/>
          <w:rFonts w:eastAsia="標楷體" w:hint="eastAsia"/>
          <w:color w:val="000000"/>
          <w:sz w:val="28"/>
        </w:rPr>
      </w:pPr>
      <w:r>
        <w:rPr>
          <w:rStyle w:val="hps"/>
          <w:rFonts w:eastAsia="標楷體" w:hint="eastAsia"/>
          <w:color w:val="000000"/>
          <w:sz w:val="28"/>
        </w:rPr>
        <w:lastRenderedPageBreak/>
        <w:t>Participant</w:t>
      </w:r>
      <w:r>
        <w:rPr>
          <w:rStyle w:val="hps"/>
          <w:rFonts w:eastAsia="標楷體"/>
          <w:color w:val="000000"/>
          <w:sz w:val="28"/>
        </w:rPr>
        <w:t>’</w:t>
      </w:r>
      <w:r>
        <w:rPr>
          <w:rStyle w:val="hps"/>
          <w:rFonts w:eastAsia="標楷體" w:hint="eastAsia"/>
          <w:color w:val="000000"/>
          <w:sz w:val="28"/>
        </w:rPr>
        <w:t xml:space="preserve">s medical costs and </w:t>
      </w:r>
      <w:r>
        <w:rPr>
          <w:rStyle w:val="hps"/>
          <w:rFonts w:eastAsia="標楷體"/>
          <w:color w:val="000000"/>
          <w:sz w:val="28"/>
        </w:rPr>
        <w:t>expenses</w:t>
      </w:r>
      <w:r>
        <w:rPr>
          <w:rStyle w:val="hps"/>
          <w:rFonts w:eastAsia="標楷體" w:hint="eastAsia"/>
          <w:color w:val="000000"/>
          <w:sz w:val="28"/>
        </w:rPr>
        <w:t xml:space="preserve"> incurred for the clinical trial conducted at Chi Mei Hospital (hereinafter referred to as </w:t>
      </w:r>
      <w:r>
        <w:rPr>
          <w:rStyle w:val="hps"/>
          <w:rFonts w:eastAsia="標楷體"/>
          <w:color w:val="000000"/>
          <w:sz w:val="28"/>
        </w:rPr>
        <w:t>“</w:t>
      </w:r>
      <w:r>
        <w:rPr>
          <w:rStyle w:val="hps"/>
          <w:rFonts w:eastAsia="標楷體" w:hint="eastAsia"/>
          <w:color w:val="000000"/>
          <w:sz w:val="28"/>
        </w:rPr>
        <w:t>Party A</w:t>
      </w:r>
      <w:r>
        <w:rPr>
          <w:rStyle w:val="hps"/>
          <w:rFonts w:eastAsia="標楷體"/>
          <w:color w:val="000000"/>
          <w:sz w:val="28"/>
        </w:rPr>
        <w:t>”</w:t>
      </w:r>
      <w:r>
        <w:rPr>
          <w:rStyle w:val="hps"/>
          <w:rFonts w:eastAsia="標楷體" w:hint="eastAsia"/>
          <w:color w:val="000000"/>
          <w:sz w:val="28"/>
        </w:rPr>
        <w:t xml:space="preserve">) borne by the clinical trial sponsor (hereinafter referred to as </w:t>
      </w:r>
      <w:r>
        <w:rPr>
          <w:rStyle w:val="hps"/>
          <w:rFonts w:eastAsia="標楷體"/>
          <w:color w:val="000000"/>
          <w:sz w:val="28"/>
        </w:rPr>
        <w:t>“</w:t>
      </w:r>
      <w:r>
        <w:rPr>
          <w:rStyle w:val="hps"/>
          <w:rFonts w:eastAsia="標楷體" w:hint="eastAsia"/>
          <w:color w:val="000000"/>
          <w:sz w:val="28"/>
        </w:rPr>
        <w:t>Party B</w:t>
      </w:r>
      <w:r>
        <w:rPr>
          <w:rStyle w:val="hps"/>
          <w:rFonts w:eastAsia="標楷體"/>
          <w:color w:val="000000"/>
          <w:sz w:val="28"/>
        </w:rPr>
        <w:t>”</w:t>
      </w:r>
      <w:r>
        <w:rPr>
          <w:rStyle w:val="hps"/>
          <w:rFonts w:eastAsia="標楷體" w:hint="eastAsia"/>
          <w:color w:val="000000"/>
          <w:sz w:val="28"/>
        </w:rPr>
        <w:t>) shall comply with the regulations set by the Ministry of Health and Welfare and National Health Insurance Administration of R.O.C. (Taiwan). If Party B</w:t>
      </w:r>
      <w:r>
        <w:rPr>
          <w:rStyle w:val="hps"/>
          <w:rFonts w:eastAsia="標楷體"/>
          <w:color w:val="000000"/>
          <w:sz w:val="28"/>
        </w:rPr>
        <w:t>’</w:t>
      </w:r>
      <w:r>
        <w:rPr>
          <w:rStyle w:val="hps"/>
          <w:rFonts w:eastAsia="標楷體" w:hint="eastAsia"/>
          <w:color w:val="000000"/>
          <w:sz w:val="28"/>
        </w:rPr>
        <w:t xml:space="preserve">s </w:t>
      </w:r>
      <w:r>
        <w:rPr>
          <w:rStyle w:val="hps"/>
          <w:rFonts w:eastAsia="標楷體"/>
          <w:color w:val="000000"/>
          <w:sz w:val="28"/>
        </w:rPr>
        <w:t>breach of</w:t>
      </w:r>
      <w:r>
        <w:rPr>
          <w:rStyle w:val="hps"/>
          <w:rFonts w:eastAsia="標楷體" w:hint="eastAsia"/>
          <w:color w:val="000000"/>
          <w:sz w:val="28"/>
        </w:rPr>
        <w:t xml:space="preserve"> the regulations causes any damage of Party A, Party B shall </w:t>
      </w:r>
      <w:r>
        <w:rPr>
          <w:rStyle w:val="hps"/>
          <w:rFonts w:eastAsia="標楷體"/>
          <w:color w:val="000000"/>
          <w:sz w:val="28"/>
        </w:rPr>
        <w:t>assume responsibility</w:t>
      </w:r>
      <w:r>
        <w:rPr>
          <w:rStyle w:val="hps"/>
          <w:rFonts w:eastAsia="標楷體" w:hint="eastAsia"/>
          <w:color w:val="000000"/>
          <w:sz w:val="28"/>
        </w:rPr>
        <w:t xml:space="preserve"> for all </w:t>
      </w:r>
      <w:r>
        <w:rPr>
          <w:rFonts w:eastAsia="標楷體" w:hint="eastAsia"/>
          <w:color w:val="000000"/>
          <w:sz w:val="28"/>
        </w:rPr>
        <w:t>liabilities</w:t>
      </w:r>
      <w:r>
        <w:rPr>
          <w:rStyle w:val="hps"/>
          <w:rFonts w:eastAsia="標楷體" w:hint="eastAsia"/>
          <w:color w:val="000000"/>
          <w:sz w:val="28"/>
        </w:rPr>
        <w:t xml:space="preserve">.  </w:t>
      </w:r>
    </w:p>
    <w:p w:rsidR="00FC51F9" w:rsidRDefault="00FC51F9">
      <w:pPr>
        <w:numPr>
          <w:ilvl w:val="0"/>
          <w:numId w:val="17"/>
        </w:numPr>
        <w:spacing w:beforeLines="100" w:line="0" w:lineRule="atLeast"/>
        <w:jc w:val="both"/>
        <w:rPr>
          <w:rFonts w:eastAsia="標楷體" w:hint="eastAsia"/>
          <w:color w:val="000000"/>
          <w:sz w:val="28"/>
        </w:rPr>
      </w:pPr>
      <w:r>
        <w:rPr>
          <w:rFonts w:eastAsia="標楷體" w:hint="eastAsia"/>
          <w:color w:val="000000"/>
          <w:sz w:val="28"/>
        </w:rPr>
        <w:t>Party A</w:t>
      </w:r>
      <w:r>
        <w:rPr>
          <w:rFonts w:eastAsia="標楷體"/>
          <w:color w:val="000000"/>
          <w:sz w:val="28"/>
        </w:rPr>
        <w:t xml:space="preserve"> </w:t>
      </w:r>
      <w:r>
        <w:rPr>
          <w:rFonts w:eastAsia="標楷體" w:hint="eastAsia"/>
          <w:color w:val="000000"/>
          <w:sz w:val="28"/>
        </w:rPr>
        <w:t>shall</w:t>
      </w:r>
      <w:r>
        <w:rPr>
          <w:rFonts w:eastAsia="標楷體"/>
          <w:color w:val="000000"/>
          <w:sz w:val="28"/>
        </w:rPr>
        <w:t xml:space="preserve"> conduct </w:t>
      </w:r>
      <w:r>
        <w:rPr>
          <w:rFonts w:eastAsia="標楷體" w:hint="eastAsia"/>
          <w:color w:val="000000"/>
          <w:sz w:val="28"/>
        </w:rPr>
        <w:t xml:space="preserve">the </w:t>
      </w:r>
      <w:r>
        <w:rPr>
          <w:rFonts w:eastAsia="標楷體"/>
          <w:color w:val="000000"/>
          <w:sz w:val="28"/>
        </w:rPr>
        <w:t>clinical</w:t>
      </w:r>
      <w:r>
        <w:rPr>
          <w:rFonts w:eastAsia="標楷體" w:hint="eastAsia"/>
          <w:color w:val="000000"/>
          <w:sz w:val="28"/>
        </w:rPr>
        <w:t xml:space="preserve"> trials in accordance with procedures described in the Protocol. Party A and the investigator shall assist Party B in providing medical care or handling compensation claims for injuries and deaths resulting from adverse events </w:t>
      </w:r>
      <w:r w:rsidRPr="00E70C16">
        <w:rPr>
          <w:rFonts w:eastAsia="標楷體" w:hint="eastAsia"/>
          <w:color w:val="4472C4"/>
          <w:sz w:val="28"/>
        </w:rPr>
        <w:t>(</w:t>
      </w:r>
      <w:r w:rsidRPr="00E70C16">
        <w:rPr>
          <w:rFonts w:eastAsia="標楷體"/>
          <w:color w:val="4472C4"/>
          <w:sz w:val="28"/>
        </w:rPr>
        <w:t>including but not limited to</w:t>
      </w:r>
      <w:r w:rsidRPr="00E70C16">
        <w:rPr>
          <w:rFonts w:eastAsia="標楷體" w:hint="eastAsia"/>
          <w:color w:val="4472C4"/>
          <w:sz w:val="28"/>
        </w:rPr>
        <w:t xml:space="preserve"> expected adverse events).</w:t>
      </w:r>
      <w:r>
        <w:rPr>
          <w:rFonts w:eastAsia="標楷體" w:hint="eastAsia"/>
          <w:color w:val="000000"/>
          <w:sz w:val="28"/>
        </w:rPr>
        <w:t xml:space="preserve"> Payments of medical expenses, compensation and other expenses (including, but no limited to, litigation costs and attorney</w:t>
      </w:r>
      <w:r>
        <w:rPr>
          <w:rFonts w:eastAsia="標楷體"/>
          <w:color w:val="000000"/>
          <w:sz w:val="28"/>
        </w:rPr>
        <w:t>’</w:t>
      </w:r>
      <w:r>
        <w:rPr>
          <w:rFonts w:eastAsia="標楷體" w:hint="eastAsia"/>
          <w:color w:val="000000"/>
          <w:sz w:val="28"/>
        </w:rPr>
        <w:t xml:space="preserve">s fees) incurred are to be borne by Party B. This provision does not apply in situations where Party A does not </w:t>
      </w:r>
      <w:r>
        <w:rPr>
          <w:rFonts w:eastAsia="標楷體"/>
          <w:color w:val="000000"/>
          <w:sz w:val="28"/>
        </w:rPr>
        <w:t>conduct clinical trials in accordance with</w:t>
      </w:r>
      <w:r>
        <w:rPr>
          <w:rFonts w:eastAsia="標楷體" w:hint="eastAsia"/>
          <w:color w:val="000000"/>
          <w:sz w:val="28"/>
        </w:rPr>
        <w:t xml:space="preserve"> procedures described in the Protocol.</w:t>
      </w:r>
    </w:p>
    <w:p w:rsidR="00FC51F9" w:rsidRDefault="00FC51F9">
      <w:pPr>
        <w:numPr>
          <w:ilvl w:val="0"/>
          <w:numId w:val="17"/>
        </w:numPr>
        <w:spacing w:beforeLines="100" w:line="0" w:lineRule="atLeast"/>
        <w:jc w:val="both"/>
        <w:rPr>
          <w:rFonts w:eastAsia="標楷體" w:hint="eastAsia"/>
          <w:color w:val="000000"/>
          <w:sz w:val="28"/>
        </w:rPr>
      </w:pPr>
      <w:r w:rsidRPr="00865E80">
        <w:rPr>
          <w:rFonts w:eastAsia="標楷體" w:hint="eastAsia"/>
          <w:color w:val="000000"/>
          <w:sz w:val="28"/>
        </w:rPr>
        <w:t>Party B by law</w:t>
      </w:r>
      <w:r w:rsidRPr="00865E80">
        <w:rPr>
          <w:rFonts w:eastAsia="標楷體"/>
          <w:color w:val="000000"/>
          <w:sz w:val="28"/>
        </w:rPr>
        <w:t xml:space="preserve"> </w:t>
      </w:r>
      <w:r w:rsidRPr="00865E80">
        <w:rPr>
          <w:rFonts w:eastAsia="標楷體" w:hint="eastAsia"/>
          <w:color w:val="000000"/>
          <w:sz w:val="28"/>
        </w:rPr>
        <w:t xml:space="preserve">must keep safe and not disclose </w:t>
      </w:r>
      <w:r w:rsidRPr="00865E80">
        <w:rPr>
          <w:rFonts w:eastAsia="標楷體"/>
          <w:color w:val="000000"/>
          <w:sz w:val="28"/>
        </w:rPr>
        <w:t>the personal information of clinical trial participants</w:t>
      </w:r>
      <w:r>
        <w:rPr>
          <w:rFonts w:eastAsia="標楷體" w:hint="eastAsia"/>
          <w:color w:val="000000"/>
          <w:sz w:val="28"/>
        </w:rPr>
        <w:t xml:space="preserve"> (including </w:t>
      </w:r>
      <w:r>
        <w:rPr>
          <w:rFonts w:eastAsia="標楷體"/>
          <w:color w:val="000000"/>
          <w:sz w:val="28"/>
        </w:rPr>
        <w:t xml:space="preserve">identification </w:t>
      </w:r>
      <w:r>
        <w:rPr>
          <w:rFonts w:eastAsia="標楷體" w:hint="eastAsia"/>
          <w:color w:val="000000"/>
          <w:sz w:val="28"/>
        </w:rPr>
        <w:t xml:space="preserve">data </w:t>
      </w:r>
      <w:r>
        <w:rPr>
          <w:rFonts w:eastAsia="標楷體"/>
          <w:color w:val="000000"/>
          <w:sz w:val="28"/>
        </w:rPr>
        <w:t>that can be linked</w:t>
      </w:r>
      <w:r>
        <w:rPr>
          <w:rFonts w:eastAsia="標楷體" w:hint="eastAsia"/>
          <w:color w:val="000000"/>
          <w:sz w:val="28"/>
        </w:rPr>
        <w:t xml:space="preserve"> to the participants directly or indirectly). The violator shall be subject to all liabilities and penalties caused to either party or the third party including, but not limited to, litigation costs and attorney</w:t>
      </w:r>
      <w:r>
        <w:rPr>
          <w:rFonts w:eastAsia="標楷體"/>
          <w:color w:val="000000"/>
          <w:sz w:val="28"/>
        </w:rPr>
        <w:t>’</w:t>
      </w:r>
      <w:r>
        <w:rPr>
          <w:rFonts w:eastAsia="標楷體" w:hint="eastAsia"/>
          <w:color w:val="000000"/>
          <w:sz w:val="28"/>
        </w:rPr>
        <w:t xml:space="preserve">s fees. </w:t>
      </w:r>
    </w:p>
    <w:p w:rsidR="00FC51F9" w:rsidRDefault="00813B2D">
      <w:pPr>
        <w:numPr>
          <w:ilvl w:val="0"/>
          <w:numId w:val="17"/>
        </w:numPr>
        <w:spacing w:beforeLines="100" w:line="0" w:lineRule="atLeast"/>
        <w:jc w:val="both"/>
        <w:rPr>
          <w:rFonts w:eastAsia="標楷體" w:hint="eastAsia"/>
          <w:color w:val="000000"/>
          <w:sz w:val="28"/>
        </w:rPr>
      </w:pPr>
      <w:r>
        <w:rPr>
          <w:rFonts w:eastAsia="標楷體" w:hint="eastAsia"/>
          <w:color w:val="000000"/>
          <w:sz w:val="28"/>
        </w:rPr>
        <w:t xml:space="preserve">All research expenses </w:t>
      </w:r>
      <w:r w:rsidRPr="00086863">
        <w:rPr>
          <w:rFonts w:eastAsia="標楷體"/>
          <w:color w:val="000000"/>
          <w:sz w:val="28"/>
        </w:rPr>
        <w:t>(exclusive of</w:t>
      </w:r>
      <w:r w:rsidRPr="00086863">
        <w:rPr>
          <w:rFonts w:eastAsia="標楷體" w:hint="eastAsia"/>
          <w:color w:val="000000"/>
          <w:sz w:val="28"/>
        </w:rPr>
        <w:t xml:space="preserve"> </w:t>
      </w:r>
      <w:r w:rsidRPr="00086863">
        <w:rPr>
          <w:rFonts w:eastAsia="標楷體"/>
          <w:color w:val="000000"/>
          <w:sz w:val="28"/>
        </w:rPr>
        <w:t>transportation and nutrition fees for clinical trial participants</w:t>
      </w:r>
      <w:r w:rsidRPr="00086863">
        <w:rPr>
          <w:rFonts w:eastAsia="標楷體" w:hint="eastAsia"/>
          <w:color w:val="000000"/>
          <w:sz w:val="28"/>
        </w:rPr>
        <w:t>)</w:t>
      </w:r>
      <w:r>
        <w:rPr>
          <w:rFonts w:eastAsia="標楷體" w:hint="eastAsia"/>
          <w:color w:val="000000"/>
          <w:sz w:val="28"/>
        </w:rPr>
        <w:t xml:space="preserve"> paid by Party B shall be transparent; the </w:t>
      </w:r>
      <w:r>
        <w:rPr>
          <w:rFonts w:eastAsia="標楷體"/>
          <w:color w:val="000000"/>
          <w:sz w:val="28"/>
        </w:rPr>
        <w:t>payment</w:t>
      </w:r>
      <w:r>
        <w:rPr>
          <w:rFonts w:eastAsia="標楷體" w:hint="eastAsia"/>
          <w:color w:val="000000"/>
          <w:sz w:val="28"/>
        </w:rPr>
        <w:t>s shall be processed and transferred through Party A.</w:t>
      </w:r>
      <w:r w:rsidR="00FC51F9">
        <w:rPr>
          <w:rFonts w:eastAsia="標楷體" w:hint="eastAsia"/>
          <w:color w:val="000000"/>
          <w:sz w:val="28"/>
        </w:rPr>
        <w:t xml:space="preserve"> </w:t>
      </w:r>
    </w:p>
    <w:p w:rsidR="00FC51F9" w:rsidRDefault="00FC51F9">
      <w:pPr>
        <w:numPr>
          <w:ilvl w:val="0"/>
          <w:numId w:val="17"/>
        </w:numPr>
        <w:spacing w:beforeLines="100" w:line="0" w:lineRule="atLeast"/>
        <w:jc w:val="both"/>
        <w:rPr>
          <w:rFonts w:eastAsia="標楷體" w:hint="eastAsia"/>
          <w:color w:val="000000"/>
          <w:sz w:val="28"/>
        </w:rPr>
      </w:pPr>
      <w:r>
        <w:rPr>
          <w:rFonts w:eastAsia="標楷體" w:hint="eastAsia"/>
          <w:color w:val="000000"/>
          <w:sz w:val="28"/>
        </w:rPr>
        <w:t xml:space="preserve">All other terms </w:t>
      </w:r>
      <w:r>
        <w:rPr>
          <w:rFonts w:eastAsia="標楷體"/>
          <w:color w:val="000000"/>
          <w:sz w:val="28"/>
        </w:rPr>
        <w:t>and</w:t>
      </w:r>
      <w:r>
        <w:rPr>
          <w:rFonts w:eastAsia="標楷體" w:hint="eastAsia"/>
          <w:color w:val="000000"/>
          <w:sz w:val="28"/>
        </w:rPr>
        <w:t xml:space="preserve"> conditions not stipulated in the Agreement shall be governed by and interpreted in accordance with Laws of the Republic of China.</w:t>
      </w:r>
    </w:p>
    <w:p w:rsidR="00FC51F9" w:rsidRDefault="00FC51F9">
      <w:pPr>
        <w:numPr>
          <w:ilvl w:val="0"/>
          <w:numId w:val="17"/>
        </w:numPr>
        <w:spacing w:beforeLines="100" w:line="0" w:lineRule="atLeast"/>
        <w:jc w:val="both"/>
        <w:rPr>
          <w:rFonts w:eastAsia="標楷體" w:hint="eastAsia"/>
          <w:color w:val="000000"/>
          <w:sz w:val="28"/>
        </w:rPr>
      </w:pPr>
      <w:r>
        <w:rPr>
          <w:rFonts w:eastAsia="標楷體" w:hint="eastAsia"/>
          <w:color w:val="000000"/>
          <w:sz w:val="28"/>
        </w:rPr>
        <w:t xml:space="preserve">In the event any lawsuits arising out of or relating to the Agreement, the parties agree that the Taiwan Tainan District Court shall be the competent court of jurisdiction in the first instance. </w:t>
      </w:r>
    </w:p>
    <w:p w:rsidR="00FC51F9" w:rsidRDefault="00FC51F9">
      <w:pPr>
        <w:numPr>
          <w:ilvl w:val="0"/>
          <w:numId w:val="17"/>
        </w:numPr>
        <w:spacing w:beforeLines="100" w:line="0" w:lineRule="atLeast"/>
        <w:jc w:val="both"/>
        <w:rPr>
          <w:rFonts w:eastAsia="標楷體"/>
          <w:color w:val="000000"/>
          <w:sz w:val="28"/>
        </w:rPr>
      </w:pPr>
      <w:r>
        <w:rPr>
          <w:rFonts w:eastAsia="標楷體"/>
          <w:color w:val="000000"/>
          <w:sz w:val="28"/>
        </w:rPr>
        <w:t>The</w:t>
      </w:r>
      <w:r>
        <w:rPr>
          <w:rFonts w:eastAsia="標楷體" w:hint="eastAsia"/>
          <w:color w:val="000000"/>
          <w:sz w:val="28"/>
        </w:rPr>
        <w:t xml:space="preserve"> Agreement is written in Chinese and English, and the parties agree that the Chinese version will prevail to the extent of any discrepancy in meaning between the Chinese version and its translation.</w:t>
      </w:r>
    </w:p>
    <w:p w:rsidR="00FC51F9" w:rsidRPr="00D05D60" w:rsidRDefault="00FC51F9">
      <w:pPr>
        <w:numPr>
          <w:ilvl w:val="0"/>
          <w:numId w:val="17"/>
        </w:numPr>
        <w:spacing w:beforeLines="100" w:line="0" w:lineRule="atLeast"/>
        <w:jc w:val="both"/>
        <w:rPr>
          <w:rFonts w:eastAsia="標楷體"/>
          <w:sz w:val="28"/>
        </w:rPr>
      </w:pPr>
      <w:r w:rsidRPr="00D05D60">
        <w:rPr>
          <w:rFonts w:eastAsia="標楷體"/>
          <w:sz w:val="28"/>
        </w:rPr>
        <w:t xml:space="preserve">Articles 1 through 7 of this Agreement </w:t>
      </w:r>
      <w:r w:rsidRPr="00D05D60">
        <w:rPr>
          <w:rFonts w:eastAsia="標楷體" w:hint="eastAsia"/>
          <w:sz w:val="28"/>
        </w:rPr>
        <w:t>shall be given p</w:t>
      </w:r>
      <w:r w:rsidRPr="00D05D60">
        <w:rPr>
          <w:rFonts w:eastAsia="標楷體"/>
          <w:sz w:val="28"/>
        </w:rPr>
        <w:t>riority</w:t>
      </w:r>
      <w:r w:rsidRPr="00D05D60">
        <w:rPr>
          <w:rFonts w:eastAsia="標楷體" w:hint="eastAsia"/>
          <w:sz w:val="28"/>
        </w:rPr>
        <w:t xml:space="preserve">. </w:t>
      </w:r>
      <w:r w:rsidRPr="00D05D60">
        <w:rPr>
          <w:rFonts w:eastAsia="標楷體"/>
          <w:sz w:val="28"/>
        </w:rPr>
        <w:t xml:space="preserve">Any </w:t>
      </w:r>
      <w:r w:rsidRPr="00D05D60">
        <w:rPr>
          <w:rFonts w:eastAsia="標楷體" w:hint="eastAsia"/>
          <w:sz w:val="28"/>
        </w:rPr>
        <w:t>written or oral agreement between both parties</w:t>
      </w:r>
      <w:r w:rsidRPr="00D05D60">
        <w:rPr>
          <w:rFonts w:eastAsia="標楷體"/>
          <w:sz w:val="28"/>
        </w:rPr>
        <w:t xml:space="preserve"> </w:t>
      </w:r>
      <w:r w:rsidRPr="00D05D60">
        <w:rPr>
          <w:rFonts w:eastAsia="標楷體" w:hint="eastAsia"/>
          <w:sz w:val="28"/>
        </w:rPr>
        <w:t xml:space="preserve">that </w:t>
      </w:r>
      <w:r w:rsidRPr="00D05D60">
        <w:rPr>
          <w:rFonts w:eastAsia="標楷體"/>
          <w:sz w:val="28"/>
        </w:rPr>
        <w:t>conflict</w:t>
      </w:r>
      <w:r w:rsidRPr="00D05D60">
        <w:rPr>
          <w:rFonts w:eastAsia="標楷體" w:hint="eastAsia"/>
          <w:sz w:val="28"/>
        </w:rPr>
        <w:t>s</w:t>
      </w:r>
      <w:r w:rsidRPr="00D05D60">
        <w:rPr>
          <w:rFonts w:eastAsia="標楷體"/>
          <w:sz w:val="28"/>
        </w:rPr>
        <w:t xml:space="preserve"> or is inconsistent with</w:t>
      </w:r>
      <w:r w:rsidRPr="00D05D60">
        <w:rPr>
          <w:rFonts w:eastAsia="標楷體" w:hint="eastAsia"/>
          <w:sz w:val="28"/>
        </w:rPr>
        <w:t xml:space="preserve"> </w:t>
      </w:r>
      <w:r w:rsidRPr="00D05D60">
        <w:rPr>
          <w:rFonts w:eastAsia="標楷體"/>
          <w:sz w:val="28"/>
        </w:rPr>
        <w:t>the provisions of this Agreement</w:t>
      </w:r>
      <w:r w:rsidRPr="00D05D60">
        <w:rPr>
          <w:rFonts w:eastAsia="標楷體" w:hint="eastAsia"/>
          <w:sz w:val="28"/>
        </w:rPr>
        <w:t xml:space="preserve"> is not binding.</w:t>
      </w:r>
    </w:p>
    <w:p w:rsidR="00FC51F9" w:rsidRDefault="00FC51F9">
      <w:pPr>
        <w:numPr>
          <w:ilvl w:val="0"/>
          <w:numId w:val="17"/>
        </w:numPr>
        <w:spacing w:beforeLines="100" w:line="0" w:lineRule="atLeast"/>
        <w:jc w:val="both"/>
        <w:rPr>
          <w:rFonts w:eastAsia="標楷體" w:hint="eastAsia"/>
          <w:color w:val="000000"/>
          <w:sz w:val="28"/>
        </w:rPr>
      </w:pPr>
      <w:r>
        <w:rPr>
          <w:rFonts w:eastAsia="標楷體" w:hint="eastAsia"/>
          <w:color w:val="000000"/>
          <w:sz w:val="28"/>
        </w:rPr>
        <w:t>This Agreement is made in duplicate and each party shall hold one copy.</w:t>
      </w:r>
    </w:p>
    <w:sectPr w:rsidR="00FC51F9" w:rsidSect="00E771EB">
      <w:footerReference w:type="even" r:id="rId7"/>
      <w:footerReference w:type="default" r:id="rId8"/>
      <w:pgSz w:w="11906" w:h="16838"/>
      <w:pgMar w:top="964" w:right="1106" w:bottom="964"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A03" w:rsidRDefault="00F54A03">
      <w:r>
        <w:separator/>
      </w:r>
    </w:p>
  </w:endnote>
  <w:endnote w:type="continuationSeparator" w:id="0">
    <w:p w:rsidR="00F54A03" w:rsidRDefault="00F54A0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F9" w:rsidRDefault="00FC51F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C51F9" w:rsidRDefault="00FC51F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F9" w:rsidRDefault="00FC51F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93237">
      <w:rPr>
        <w:rStyle w:val="a8"/>
        <w:noProof/>
      </w:rPr>
      <w:t>1</w:t>
    </w:r>
    <w:r>
      <w:rPr>
        <w:rStyle w:val="a8"/>
      </w:rPr>
      <w:fldChar w:fldCharType="end"/>
    </w:r>
  </w:p>
  <w:p w:rsidR="00FC51F9" w:rsidRDefault="00FC51F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A03" w:rsidRDefault="00F54A03">
      <w:r>
        <w:separator/>
      </w:r>
    </w:p>
  </w:footnote>
  <w:footnote w:type="continuationSeparator" w:id="0">
    <w:p w:rsidR="00F54A03" w:rsidRDefault="00F54A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13"/>
    <w:lvl w:ilvl="0">
      <w:start w:val="1"/>
      <w:numFmt w:val="decimal"/>
      <w:lvlText w:val="第%1條、"/>
      <w:lvlJc w:val="left"/>
      <w:pPr>
        <w:tabs>
          <w:tab w:val="num" w:pos="1080"/>
        </w:tabs>
        <w:ind w:left="1080" w:hanging="1080"/>
      </w:pPr>
      <w:rPr>
        <w:rFonts w:ascii="標楷體" w:eastAsia="標楷體" w:hAnsi="標楷體" w:cs="標楷體" w:hint="eastAsia"/>
        <w:color w:val="000000"/>
        <w:sz w:val="28"/>
      </w:rPr>
    </w:lvl>
  </w:abstractNum>
  <w:abstractNum w:abstractNumId="1">
    <w:nsid w:val="037F5355"/>
    <w:multiLevelType w:val="singleLevel"/>
    <w:tmpl w:val="96188970"/>
    <w:lvl w:ilvl="0">
      <w:start w:val="1"/>
      <w:numFmt w:val="taiwaneseCountingThousand"/>
      <w:lvlText w:val="第%1條、"/>
      <w:lvlJc w:val="left"/>
      <w:pPr>
        <w:tabs>
          <w:tab w:val="num" w:pos="1191"/>
        </w:tabs>
        <w:ind w:left="1191" w:hanging="1191"/>
      </w:pPr>
      <w:rPr>
        <w:rFonts w:hint="eastAsia"/>
        <w:b w:val="0"/>
        <w:i w:val="0"/>
      </w:rPr>
    </w:lvl>
  </w:abstractNum>
  <w:abstractNum w:abstractNumId="2">
    <w:nsid w:val="0B1C66A3"/>
    <w:multiLevelType w:val="hybridMultilevel"/>
    <w:tmpl w:val="806AE188"/>
    <w:lvl w:ilvl="0" w:tplc="CD5E26CA">
      <w:start w:val="3"/>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3920E26"/>
    <w:multiLevelType w:val="hybridMultilevel"/>
    <w:tmpl w:val="9A3C783A"/>
    <w:lvl w:ilvl="0" w:tplc="6D829488">
      <w:start w:val="1"/>
      <w:numFmt w:val="decimal"/>
      <w:lvlText w:val="%1."/>
      <w:lvlJc w:val="left"/>
      <w:pPr>
        <w:tabs>
          <w:tab w:val="num" w:pos="720"/>
        </w:tabs>
        <w:ind w:left="720" w:hanging="360"/>
      </w:pPr>
      <w:rPr>
        <w:rFonts w:hint="eastAsia"/>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146B7CF1"/>
    <w:multiLevelType w:val="hybridMultilevel"/>
    <w:tmpl w:val="E7F09766"/>
    <w:lvl w:ilvl="0" w:tplc="08F2AC9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8B3336F"/>
    <w:multiLevelType w:val="hybridMultilevel"/>
    <w:tmpl w:val="D536EF24"/>
    <w:lvl w:ilvl="0" w:tplc="04090001">
      <w:start w:val="1"/>
      <w:numFmt w:val="bullet"/>
      <w:lvlText w:val=""/>
      <w:lvlJc w:val="left"/>
      <w:pPr>
        <w:tabs>
          <w:tab w:val="num" w:pos="840"/>
        </w:tabs>
        <w:ind w:left="84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0D48A6"/>
    <w:multiLevelType w:val="hybridMultilevel"/>
    <w:tmpl w:val="BCA6A3F2"/>
    <w:lvl w:ilvl="0" w:tplc="DAA8DBF8">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CB43091"/>
    <w:multiLevelType w:val="hybridMultilevel"/>
    <w:tmpl w:val="87266010"/>
    <w:lvl w:ilvl="0" w:tplc="F976D888">
      <w:start w:val="1"/>
      <w:numFmt w:val="decimal"/>
      <w:lvlText w:val="%1."/>
      <w:lvlJc w:val="left"/>
      <w:pPr>
        <w:tabs>
          <w:tab w:val="num" w:pos="375"/>
        </w:tabs>
        <w:ind w:left="375" w:hanging="37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D1B125B"/>
    <w:multiLevelType w:val="hybridMultilevel"/>
    <w:tmpl w:val="AC0859F2"/>
    <w:lvl w:ilvl="0" w:tplc="04090007">
      <w:start w:val="1"/>
      <w:numFmt w:val="bullet"/>
      <w:lvlText w:val=""/>
      <w:lvlJc w:val="left"/>
      <w:pPr>
        <w:tabs>
          <w:tab w:val="num" w:pos="480"/>
        </w:tabs>
        <w:ind w:left="48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Marlett" w:hAnsi="Marlett" w:hint="default"/>
      </w:rPr>
    </w:lvl>
    <w:lvl w:ilvl="2" w:tplc="04090005" w:tentative="1">
      <w:start w:val="1"/>
      <w:numFmt w:val="bullet"/>
      <w:lvlText w:val=""/>
      <w:lvlJc w:val="left"/>
      <w:pPr>
        <w:tabs>
          <w:tab w:val="num" w:pos="1440"/>
        </w:tabs>
        <w:ind w:left="1440" w:hanging="480"/>
      </w:pPr>
      <w:rPr>
        <w:rFonts w:ascii="Marlett" w:hAnsi="Marlett" w:hint="default"/>
      </w:rPr>
    </w:lvl>
    <w:lvl w:ilvl="3" w:tplc="04090001" w:tentative="1">
      <w:start w:val="1"/>
      <w:numFmt w:val="bullet"/>
      <w:lvlText w:val=""/>
      <w:lvlJc w:val="left"/>
      <w:pPr>
        <w:tabs>
          <w:tab w:val="num" w:pos="1920"/>
        </w:tabs>
        <w:ind w:left="1920" w:hanging="480"/>
      </w:pPr>
      <w:rPr>
        <w:rFonts w:ascii="Marlett" w:hAnsi="Marlett" w:hint="default"/>
      </w:rPr>
    </w:lvl>
    <w:lvl w:ilvl="4" w:tplc="04090003" w:tentative="1">
      <w:start w:val="1"/>
      <w:numFmt w:val="bullet"/>
      <w:lvlText w:val=""/>
      <w:lvlJc w:val="left"/>
      <w:pPr>
        <w:tabs>
          <w:tab w:val="num" w:pos="2400"/>
        </w:tabs>
        <w:ind w:left="2400" w:hanging="480"/>
      </w:pPr>
      <w:rPr>
        <w:rFonts w:ascii="Marlett" w:hAnsi="Marlett" w:hint="default"/>
      </w:rPr>
    </w:lvl>
    <w:lvl w:ilvl="5" w:tplc="04090005" w:tentative="1">
      <w:start w:val="1"/>
      <w:numFmt w:val="bullet"/>
      <w:lvlText w:val=""/>
      <w:lvlJc w:val="left"/>
      <w:pPr>
        <w:tabs>
          <w:tab w:val="num" w:pos="2880"/>
        </w:tabs>
        <w:ind w:left="2880" w:hanging="480"/>
      </w:pPr>
      <w:rPr>
        <w:rFonts w:ascii="Marlett" w:hAnsi="Marlett" w:hint="default"/>
      </w:rPr>
    </w:lvl>
    <w:lvl w:ilvl="6" w:tplc="04090001" w:tentative="1">
      <w:start w:val="1"/>
      <w:numFmt w:val="bullet"/>
      <w:lvlText w:val=""/>
      <w:lvlJc w:val="left"/>
      <w:pPr>
        <w:tabs>
          <w:tab w:val="num" w:pos="3360"/>
        </w:tabs>
        <w:ind w:left="3360" w:hanging="480"/>
      </w:pPr>
      <w:rPr>
        <w:rFonts w:ascii="Marlett" w:hAnsi="Marlett" w:hint="default"/>
      </w:rPr>
    </w:lvl>
    <w:lvl w:ilvl="7" w:tplc="04090003" w:tentative="1">
      <w:start w:val="1"/>
      <w:numFmt w:val="bullet"/>
      <w:lvlText w:val=""/>
      <w:lvlJc w:val="left"/>
      <w:pPr>
        <w:tabs>
          <w:tab w:val="num" w:pos="3840"/>
        </w:tabs>
        <w:ind w:left="3840" w:hanging="480"/>
      </w:pPr>
      <w:rPr>
        <w:rFonts w:ascii="Marlett" w:hAnsi="Marlett" w:hint="default"/>
      </w:rPr>
    </w:lvl>
    <w:lvl w:ilvl="8" w:tplc="04090005" w:tentative="1">
      <w:start w:val="1"/>
      <w:numFmt w:val="bullet"/>
      <w:lvlText w:val=""/>
      <w:lvlJc w:val="left"/>
      <w:pPr>
        <w:tabs>
          <w:tab w:val="num" w:pos="4320"/>
        </w:tabs>
        <w:ind w:left="4320" w:hanging="480"/>
      </w:pPr>
      <w:rPr>
        <w:rFonts w:ascii="Marlett" w:hAnsi="Marlett" w:hint="default"/>
      </w:rPr>
    </w:lvl>
  </w:abstractNum>
  <w:abstractNum w:abstractNumId="9">
    <w:nsid w:val="320D628D"/>
    <w:multiLevelType w:val="hybridMultilevel"/>
    <w:tmpl w:val="49A6BDF0"/>
    <w:lvl w:ilvl="0" w:tplc="DD3609D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32A948A9"/>
    <w:multiLevelType w:val="hybridMultilevel"/>
    <w:tmpl w:val="96F6D5DC"/>
    <w:lvl w:ilvl="0" w:tplc="6D0CDA0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70B3103"/>
    <w:multiLevelType w:val="hybridMultilevel"/>
    <w:tmpl w:val="BC2445C0"/>
    <w:lvl w:ilvl="0" w:tplc="4F58564A">
      <w:start w:val="1"/>
      <w:numFmt w:val="taiwaneseCountingThousand"/>
      <w:lvlText w:val="第%1條、"/>
      <w:lvlJc w:val="left"/>
      <w:pPr>
        <w:tabs>
          <w:tab w:val="num" w:pos="1364"/>
        </w:tabs>
        <w:ind w:left="1364" w:hanging="1080"/>
      </w:pPr>
      <w:rPr>
        <w:rFonts w:hint="eastAsia"/>
      </w:rPr>
    </w:lvl>
    <w:lvl w:ilvl="1" w:tplc="04090019">
      <w:start w:val="1"/>
      <w:numFmt w:val="ideographTraditional"/>
      <w:lvlText w:val="%2、"/>
      <w:lvlJc w:val="left"/>
      <w:pPr>
        <w:tabs>
          <w:tab w:val="num" w:pos="1244"/>
        </w:tabs>
        <w:ind w:left="1244" w:hanging="480"/>
      </w:pPr>
    </w:lvl>
    <w:lvl w:ilvl="2" w:tplc="0409001B">
      <w:start w:val="1"/>
      <w:numFmt w:val="lowerRoman"/>
      <w:lvlText w:val="%3."/>
      <w:lvlJc w:val="right"/>
      <w:pPr>
        <w:tabs>
          <w:tab w:val="num" w:pos="1724"/>
        </w:tabs>
        <w:ind w:left="1724" w:hanging="480"/>
      </w:pPr>
    </w:lvl>
    <w:lvl w:ilvl="3" w:tplc="0409000F">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2">
    <w:nsid w:val="57E40A3D"/>
    <w:multiLevelType w:val="hybridMultilevel"/>
    <w:tmpl w:val="986CCB2C"/>
    <w:lvl w:ilvl="0" w:tplc="320AF158">
      <w:start w:val="1"/>
      <w:numFmt w:val="decimal"/>
      <w:lvlText w:val="%1."/>
      <w:lvlJc w:val="left"/>
      <w:pPr>
        <w:tabs>
          <w:tab w:val="num" w:pos="720"/>
        </w:tabs>
        <w:ind w:left="720" w:hanging="360"/>
      </w:pPr>
      <w:rPr>
        <w:rFonts w:hint="eastAsia"/>
      </w:rPr>
    </w:lvl>
    <w:lvl w:ilvl="1" w:tplc="E968D080">
      <w:start w:val="1"/>
      <w:numFmt w:val="decimal"/>
      <w:lvlText w:val="(%2)"/>
      <w:lvlJc w:val="left"/>
      <w:pPr>
        <w:tabs>
          <w:tab w:val="num" w:pos="1560"/>
        </w:tabs>
        <w:ind w:left="1560" w:hanging="72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nsid w:val="71BD2ADE"/>
    <w:multiLevelType w:val="hybridMultilevel"/>
    <w:tmpl w:val="6C24225C"/>
    <w:lvl w:ilvl="0" w:tplc="246A77C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9AB625D"/>
    <w:multiLevelType w:val="hybridMultilevel"/>
    <w:tmpl w:val="B9C40F94"/>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nsid w:val="7D9A3F1E"/>
    <w:multiLevelType w:val="hybridMultilevel"/>
    <w:tmpl w:val="4680F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4"/>
  </w:num>
  <w:num w:numId="7">
    <w:abstractNumId w:val="15"/>
  </w:num>
  <w:num w:numId="8">
    <w:abstractNumId w:val="9"/>
  </w:num>
  <w:num w:numId="9">
    <w:abstractNumId w:val="1"/>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 w:numId="15">
    <w:abstractNumId w:val="5"/>
  </w:num>
  <w:num w:numId="16">
    <w:abstractNumId w:val="10"/>
  </w:num>
  <w:num w:numId="17">
    <w:abstractNumId w:val="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71EB"/>
    <w:rsid w:val="0000280D"/>
    <w:rsid w:val="000211FB"/>
    <w:rsid w:val="00086863"/>
    <w:rsid w:val="00141C2B"/>
    <w:rsid w:val="0014296F"/>
    <w:rsid w:val="002936A6"/>
    <w:rsid w:val="005B194B"/>
    <w:rsid w:val="006475BA"/>
    <w:rsid w:val="00655539"/>
    <w:rsid w:val="0067570B"/>
    <w:rsid w:val="00692D04"/>
    <w:rsid w:val="007C2ABB"/>
    <w:rsid w:val="00813B2D"/>
    <w:rsid w:val="008465AE"/>
    <w:rsid w:val="00865E80"/>
    <w:rsid w:val="00CD4612"/>
    <w:rsid w:val="00CF7F0A"/>
    <w:rsid w:val="00D05D60"/>
    <w:rsid w:val="00D35837"/>
    <w:rsid w:val="00D93237"/>
    <w:rsid w:val="00E70C16"/>
    <w:rsid w:val="00E771EB"/>
    <w:rsid w:val="00EB7AE3"/>
    <w:rsid w:val="00F54A03"/>
    <w:rsid w:val="00FC51F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pPr>
    <w:rPr>
      <w:sz w:val="28"/>
    </w:rPr>
  </w:style>
  <w:style w:type="paragraph" w:styleId="a4">
    <w:name w:val="header"/>
    <w:basedOn w:val="a"/>
    <w:unhideWhenUsed/>
    <w:pPr>
      <w:tabs>
        <w:tab w:val="center" w:pos="4153"/>
        <w:tab w:val="right" w:pos="8306"/>
      </w:tabs>
      <w:snapToGrid w:val="0"/>
    </w:pPr>
    <w:rPr>
      <w:sz w:val="20"/>
      <w:szCs w:val="20"/>
    </w:rPr>
  </w:style>
  <w:style w:type="character" w:customStyle="1" w:styleId="a5">
    <w:name w:val="頁首 字元"/>
    <w:semiHidden/>
    <w:rPr>
      <w:kern w:val="2"/>
    </w:rPr>
  </w:style>
  <w:style w:type="paragraph" w:styleId="a6">
    <w:name w:val="footer"/>
    <w:basedOn w:val="a"/>
    <w:unhideWhenUsed/>
    <w:pPr>
      <w:tabs>
        <w:tab w:val="center" w:pos="4153"/>
        <w:tab w:val="right" w:pos="8306"/>
      </w:tabs>
      <w:snapToGrid w:val="0"/>
    </w:pPr>
    <w:rPr>
      <w:sz w:val="20"/>
      <w:szCs w:val="20"/>
    </w:rPr>
  </w:style>
  <w:style w:type="character" w:customStyle="1" w:styleId="a7">
    <w:name w:val="頁尾 字元"/>
    <w:semiHidden/>
    <w:rPr>
      <w:kern w:val="2"/>
    </w:rPr>
  </w:style>
  <w:style w:type="character" w:styleId="a8">
    <w:name w:val="page number"/>
    <w:basedOn w:val="a0"/>
    <w:semiHidden/>
  </w:style>
  <w:style w:type="paragraph" w:styleId="2">
    <w:name w:val="Body Text Indent 2"/>
    <w:basedOn w:val="a"/>
    <w:semiHidden/>
    <w:pPr>
      <w:spacing w:beforeLines="100" w:line="0" w:lineRule="atLeast"/>
      <w:ind w:leftChars="525" w:left="1260"/>
      <w:jc w:val="both"/>
    </w:pPr>
    <w:rPr>
      <w:rFonts w:ascii="標楷體" w:eastAsia="標楷體" w:hAnsi="標楷體"/>
      <w:color w:val="000000"/>
      <w:sz w:val="28"/>
    </w:rPr>
  </w:style>
  <w:style w:type="character" w:customStyle="1" w:styleId="hps">
    <w:name w:val="hps"/>
    <w:basedOn w:val="a0"/>
  </w:style>
  <w:style w:type="character" w:customStyle="1" w:styleId="apple-converted-space">
    <w:name w:val="apple-converted-space"/>
    <w:basedOn w:val="a0"/>
  </w:style>
  <w:style w:type="character" w:customStyle="1" w:styleId="hpsatn">
    <w:name w:val="hps atn"/>
    <w:basedOn w:val="a0"/>
  </w:style>
  <w:style w:type="character" w:styleId="a9">
    <w:name w:val="Emphasis"/>
    <w:qFormat/>
    <w:rPr>
      <w:i/>
      <w:iC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Company>奇美醫院</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臨床研究管理委員會</dc:title>
  <dc:creator>chimei</dc:creator>
  <cp:lastModifiedBy>PC83117</cp:lastModifiedBy>
  <cp:revision>2</cp:revision>
  <cp:lastPrinted>2017-09-05T01:53:00Z</cp:lastPrinted>
  <dcterms:created xsi:type="dcterms:W3CDTF">2021-01-05T00:23:00Z</dcterms:created>
  <dcterms:modified xsi:type="dcterms:W3CDTF">2021-01-05T00:23:00Z</dcterms:modified>
</cp:coreProperties>
</file>